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8" w:rsidRPr="00C950EB" w:rsidRDefault="008B7B58" w:rsidP="0045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Zuid-Chemie BV</w:t>
      </w:r>
    </w:p>
    <w:p w:rsidR="008B7B58" w:rsidRPr="00C950EB" w:rsidRDefault="003C31C6" w:rsidP="0045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protiv</w:t>
      </w:r>
    </w:p>
    <w:p w:rsidR="008B7B58" w:rsidRPr="00C950EB" w:rsidRDefault="008B7B58" w:rsidP="0045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Philippo’s Mineralenfabriek NV/SA</w:t>
      </w:r>
    </w:p>
    <w:p w:rsidR="004575A5" w:rsidRPr="00C950EB" w:rsidRDefault="004575A5" w:rsidP="0045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16. </w:t>
      </w:r>
      <w:r w:rsidR="003C31C6" w:rsidRPr="00C950E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srpnja</w:t>
      </w:r>
      <w:r w:rsidRPr="00C950E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2009</w:t>
      </w:r>
      <w:r w:rsidR="003C31C6" w:rsidRPr="00C950E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</w:t>
      </w:r>
    </w:p>
    <w:p w:rsidR="004575A5" w:rsidRPr="00C950EB" w:rsidRDefault="004575A5" w:rsidP="0045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C-189/08</w:t>
      </w:r>
    </w:p>
    <w:p w:rsidR="008B7B58" w:rsidRPr="00C950EB" w:rsidRDefault="003C31C6" w:rsidP="0045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Pravosudna suradnja u građanskim i trgovačkim stvarima</w:t>
      </w:r>
      <w:r w:rsidR="008B7B58"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– </w:t>
      </w:r>
      <w:r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sudska nadležnost i ovrha sudskih odluka</w:t>
      </w:r>
      <w:r w:rsidR="008B7B58"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– </w:t>
      </w:r>
      <w:r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Uredba</w:t>
      </w:r>
      <w:r w:rsidR="008B7B58"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EZ</w:t>
      </w:r>
      <w:r w:rsidR="008B7B58"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) </w:t>
      </w:r>
      <w:r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br</w:t>
      </w:r>
      <w:r w:rsidR="008B7B58"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 44/2001</w:t>
      </w:r>
      <w:r w:rsidR="00EE67E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8B7B58"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– </w:t>
      </w:r>
      <w:r w:rsidR="00EE67E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posebna nadležnost – nadležnost za izvanugovornu odgovornost za štetu</w:t>
      </w:r>
    </w:p>
    <w:p w:rsidR="004575A5" w:rsidRPr="00C950EB" w:rsidRDefault="004575A5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4575A5" w:rsidRPr="00C950EB" w:rsidRDefault="00B60E93" w:rsidP="0045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IZREKA</w:t>
      </w:r>
      <w:r w:rsidR="004575A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3C31C6" w:rsidRPr="00C950EB" w:rsidRDefault="003C31C6" w:rsidP="0045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</w:t>
      </w:r>
      <w:r w:rsidR="004575A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5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 točka</w:t>
      </w:r>
      <w:r w:rsidR="004575A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3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  <w:r w:rsidR="004575A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Uredbe</w:t>
      </w:r>
      <w:r w:rsidR="004575A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EZ</w:t>
      </w:r>
      <w:r w:rsidR="004575A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) 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br</w:t>
      </w:r>
      <w:r w:rsidR="004575A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. 44/2001 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Vijeća od</w:t>
      </w:r>
      <w:r w:rsidR="004575A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22. 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prosinca</w:t>
      </w:r>
      <w:r w:rsidR="004575A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2000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 o nadležnosti i priznan</w:t>
      </w:r>
      <w:r w:rsidR="00F55BF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i ovrsi </w:t>
      </w:r>
      <w:r w:rsidR="000670F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sudskih 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odluka u građanskim i trgovačkim stvarima treba tumačiti tako da je „mjesto </w:t>
      </w:r>
      <w:r w:rsidR="00645F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gdje se štetni događaj dogodio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“ u </w:t>
      </w:r>
      <w:r w:rsidR="00B60E9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smislu 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spora kakav je </w:t>
      </w:r>
      <w:r w:rsidR="00B60E9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onaj iz glavnog postupka </w:t>
      </w:r>
      <w:r w:rsidR="000670F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ono 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mjesto </w:t>
      </w:r>
      <w:r w:rsidR="000670F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kojem je</w:t>
      </w: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nastala prvobitna šteta pri uobičajenoj uporabi predmeta za svrhu za koju je namijenjen </w:t>
      </w:r>
    </w:p>
    <w:p w:rsidR="004575A5" w:rsidRPr="00C950EB" w:rsidRDefault="004575A5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8B7B58" w:rsidRPr="00C950EB" w:rsidRDefault="004575A5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 OBRAZLOŽENJA</w:t>
      </w:r>
      <w:r w:rsidR="00B60E9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: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point1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bookmarkEnd w:id="0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  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Zahtjev za prethodnom odlukom odnosi se na tumačenje članka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točke 3. Uredbe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EZ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44/2001 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Vijeća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22. 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prosinca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2000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o nadležnosti </w:t>
      </w:r>
      <w:r w:rsidR="000670FE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priznanju i ovrsi </w:t>
      </w:r>
      <w:r w:rsidR="000670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sudskih 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odluka u građanskim i trgovačkim stvarima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SL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2001, L 12, </w:t>
      </w:r>
      <w:r w:rsidR="003C3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str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 1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</w:p>
    <w:p w:rsidR="008B7B58" w:rsidRPr="00C950EB" w:rsidRDefault="008B7B58" w:rsidP="00A8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" w:name="point2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bookmarkEnd w:id="1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  </w:t>
      </w:r>
      <w:r w:rsidR="00275B42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ahtjev </w:t>
      </w:r>
      <w:r w:rsidR="00275B4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podnesen u sklopu sudskog spora između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Zuid-Chemie BV (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 daljnjem tekstu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Zuid-Chemie), 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poduzeća sa sjedištem 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Sas van Gent (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Nizozemska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koje proizvodi umjetna gnojiva, i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Philippo’s Mineralenfabriek NV/SA (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 daljnjem tekstu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Philippo’s) 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sa sjedištem u Essenu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(Belgi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="00A8300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zbog onečišćenog proizvoda koji je to društvo isporučilo na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Zuid-Chemie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a koji se koristio u proizvodnji umjetnih gnojiva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  <w:r w:rsidR="00E9782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Pravni okvir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" w:name="point3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bookmarkEnd w:id="2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  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Članak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2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stavak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Uredbe br.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44/2001, 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koji spada u poglavlje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 II 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Dio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 („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Opće odredbe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“), 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glasi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„</w:t>
      </w:r>
      <w:r w:rsidR="000A7BE4">
        <w:rPr>
          <w:rFonts w:ascii="Times New Roman" w:eastAsia="Times New Roman" w:hAnsi="Times New Roman" w:cs="Times New Roman"/>
          <w:sz w:val="24"/>
          <w:szCs w:val="24"/>
          <w:lang w:val="hr-HR"/>
        </w:rPr>
        <w:t>Podložno odredbama ove Uredbe osobe s prebivalištem u nekoj državi članici mogu biti tužene, bez obzira na njihovo državljanstvo, pred sudovima te države članice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.“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3" w:name="point4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4</w:t>
      </w:r>
      <w:bookmarkEnd w:id="3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  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Člankom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3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stavkom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ove Uredbe predviđeno je kako slijedi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645F25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„</w:t>
      </w:r>
      <w:r w:rsidR="00645F25">
        <w:rPr>
          <w:rFonts w:ascii="Times New Roman" w:eastAsia="Times New Roman" w:hAnsi="Times New Roman" w:cs="Times New Roman"/>
          <w:sz w:val="24"/>
          <w:szCs w:val="24"/>
          <w:lang w:val="hr-HR"/>
        </w:rPr>
        <w:t>Osobe s prebivalištem u nekoj državi članici mogu biti tužene pred sudovima neke druge države članice samo prema odredbama odjeljaka 2.-7. ovog poglavlja.“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4" w:name="point5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bookmarkEnd w:id="4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  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Člankom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5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Uredbe, koja spada u Poglavlje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 II </w:t>
      </w:r>
      <w:r w:rsidR="00645F25">
        <w:rPr>
          <w:rFonts w:ascii="Times New Roman" w:eastAsia="Times New Roman" w:hAnsi="Times New Roman" w:cs="Times New Roman"/>
          <w:sz w:val="24"/>
          <w:szCs w:val="24"/>
          <w:lang w:val="hr-HR"/>
        </w:rPr>
        <w:t>Odjeljak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2</w:t>
      </w:r>
      <w:r w:rsidR="00645F2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(„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Posebn</w:t>
      </w:r>
      <w:r w:rsidR="00645F25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nadležnost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“), 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određeno je kako slijedi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„</w:t>
      </w:r>
      <w:r w:rsidR="00645F25">
        <w:rPr>
          <w:rFonts w:ascii="Times New Roman" w:eastAsia="Times New Roman" w:hAnsi="Times New Roman" w:cs="Times New Roman"/>
          <w:sz w:val="24"/>
          <w:szCs w:val="24"/>
          <w:lang w:val="hr-HR"/>
        </w:rPr>
        <w:t>Osoba s prebivalištem u nekoj državi članici može biti tužena u drugoj državi članici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…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3.      </w:t>
      </w:r>
      <w:r w:rsidR="00645F25">
        <w:rPr>
          <w:rFonts w:ascii="Times New Roman" w:eastAsia="Times New Roman" w:hAnsi="Times New Roman" w:cs="Times New Roman"/>
          <w:sz w:val="24"/>
          <w:szCs w:val="24"/>
          <w:lang w:val="hr-HR"/>
        </w:rPr>
        <w:t>u sporovima o izvanugovornoj odgovornosti za štetu ili odgovornosti koja je izjednačena s tom odgovornosti, pred sudom mjesta gdje se štetni događaj dogodio ili gdje bi se mogao dogoditi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…“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  <w:r w:rsidR="00E9782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Glavni postupak i pitanja postavljena radi </w:t>
      </w:r>
      <w:r w:rsidR="000670F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donošenja </w:t>
      </w:r>
      <w:r w:rsidR="00E97825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prethodne odluke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5" w:name="point6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bookmarkEnd w:id="5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        Zuid-Chemie 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je poduzeće koje proizvodi umjetna gnojiva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; 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 srpnju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2000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kupili su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HCI Chemicals Benelux BV (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 daljnjem tekstu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HCI), 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poduzeća sa sjedištem 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Rotterdam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Nizozemska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</w:t>
      </w:r>
      <w:r w:rsidR="00E97825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dvije pošiljke proizvoda pod nazivom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„Micromix“.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6" w:name="point7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7</w:t>
      </w:r>
      <w:bookmarkEnd w:id="6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        HCI,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koji sam ne može proizvesti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Micromix,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naručio ga je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Philippo’s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isporučio im, s jednom iznimkom, sirovine potrebne za proizvodnju tog</w:t>
      </w:r>
      <w:r w:rsidR="00E07830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proizvoda. Sirovinu koja je još nedostajala, cinkov sulfat,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Philippo’s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je u dogovoru s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HCI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nabavio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G. J. de Poorter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koji posluje pod tvrtkom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Poortershaven,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Rotterdam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7" w:name="point8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bookmarkEnd w:id="7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        Philippo’s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je proizveo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Micromix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 svojoj tvornici 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Belgi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gdje ga je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Zuid-Chemie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preuzeo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8" w:name="point9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bookmarkEnd w:id="8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        Zuid-Chemie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preradio je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Micromix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svojoj tvornici u Nizozemskoj i proizveo različite serije umjetnog gnojiva te </w:t>
      </w:r>
      <w:r w:rsidR="000670FE">
        <w:rPr>
          <w:rFonts w:ascii="Times New Roman" w:eastAsia="Times New Roman" w:hAnsi="Times New Roman" w:cs="Times New Roman"/>
          <w:sz w:val="24"/>
          <w:szCs w:val="24"/>
          <w:lang w:val="hr-HR"/>
        </w:rPr>
        <w:t>dio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prodao i otpremio svojim kupcima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9" w:name="point10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10</w:t>
      </w:r>
      <w:bookmarkEnd w:id="9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Naknadno se ispostavilo da je sadržaj kadmija u cinkovom sulfatu nabavljenom od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Poortershaven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bio previsok zbog čega je umjetno gnojivo postalo neupotrebljivo ili samo ograničeno upotrebljivo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0E3E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što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je prema tvrdnjama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Zuid-Chemie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njih </w:t>
      </w:r>
      <w:r w:rsidR="000E3E19">
        <w:rPr>
          <w:rFonts w:ascii="Times New Roman" w:eastAsia="Times New Roman" w:hAnsi="Times New Roman" w:cs="Times New Roman"/>
          <w:sz w:val="24"/>
          <w:szCs w:val="24"/>
          <w:lang w:val="hr-HR"/>
        </w:rPr>
        <w:t>uzrokovalo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gubitak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0" w:name="point11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11</w:t>
      </w:r>
      <w:bookmarkEnd w:id="10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Dana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17.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siječnja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2003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Zuid-Chemie 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sudu</w:t>
      </w:r>
      <w:r w:rsidR="007C6578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A019A" w:rsidRPr="001A019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Rechtbank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0E3E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mjesni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sud) u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Middelburg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Nizozemska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podnio tužbu protiv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Philippo’s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-a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zatražio da se utvrdi da je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Philippo’s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odgovoran za štetu koja mu je nastala te da se donese presuda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kojom će se tom poduzeću naložiti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 im u svezi s nastalom štetom isplati različite novčane iznose te naknadu štete uvećano za kamate i troškove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1" w:name="point12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12</w:t>
      </w:r>
      <w:bookmarkEnd w:id="11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Odlukom od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10.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prosinca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2003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sud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A019A" w:rsidRPr="001A019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Rechtbank Middelburg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oglasio se nenadležnim za odlučivanje o postupku pred tim sudom s obrazloženjem da u okviru primjene članka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5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stavka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3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Uredbe br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 44/2001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izraz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mjesto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gdje 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="000670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štetni događaj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nastupio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obuhvaća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mjesto događaja koji je prouzročio štetu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(„</w:t>
      </w:r>
      <w:r w:rsidRPr="000E3E1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Handlungsort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“)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kao i mjesto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gdje je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nastala prvobitna šteta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(„</w:t>
      </w:r>
      <w:r w:rsidRPr="000E3E19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Erfolgsort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“).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Što se tiče mjesta nastanka štete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Rechtbank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je zastupao shvaćanje da je prvobitna šteta za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Zuid-Chemie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nastala u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Essen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50591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jer mu je tamo isporučen onečišćeni proizvod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2" w:name="point13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13</w:t>
      </w:r>
      <w:bookmarkEnd w:id="12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Pred drugostupanjskim sudom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A019A" w:rsidRPr="001A019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Gerechtshof te ‘s-Gravenhage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Haag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E3E19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jedna strana nije osporavala da je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Essen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mjesto događaja koji je prouzročio štetu jer je tamo bio proizveden</w:t>
      </w:r>
      <w:r w:rsidR="000E3E19" w:rsidRPr="000E3E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E3E19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onečišćeni Micromix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pogledu mjesta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kojem je nastupila šteta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drugostupanjski je sud potvrdio presudu prvostupanjskog suda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 tim u svezi zastupao je stajalište da je presudno navodno skrivljeno postupanje poduzeća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Philippo’s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ne da je onečišćeni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Micromix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doveo do onečišćenja umjetnog gnojiva koje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Zuid-Chemie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proizveo u Nizozemskoj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Stoga je (prvobitna) šteta za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Zuid-Chemie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nastupila 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Essen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jer im je tamo onečišćeni proizvod isporučen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„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fco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tvornica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3" w:name="point14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14</w:t>
      </w:r>
      <w:bookmarkEnd w:id="13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Protiv odluke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suda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A019A" w:rsidRPr="001A019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Gerechtshof te ‘s-Gravenhage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Zuid-Chemie </w:t>
      </w:r>
      <w:r w:rsidR="002660EF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uložio je žalbu žalbu o pravnom pitanju 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žalbenom sudu </w:t>
      </w:r>
      <w:r w:rsidR="001A019A" w:rsidRPr="001A019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Hoge Raad der Nederlanden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(vrhovni sud u Nizozemskoj)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Taj je sud utvrdio da postoji spor o izrazu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mjesto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gdje se štetni događaj dogodio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 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 smislu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članka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5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stavka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3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Uredbe b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r. 44/2001 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da je za donošenje odluke o postupku koji traje pred tim sudom potrebno tumačenje tog izraza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4" w:name="point15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15</w:t>
      </w:r>
      <w:bookmarkEnd w:id="14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Stoga je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Hoge Raad der Nederlanden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donio odluku da 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zastane s</w:t>
      </w:r>
      <w:r w:rsidR="0045755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postup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kom</w:t>
      </w:r>
      <w:r w:rsidR="00CF181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podnese Sudu sljedeća pitanja radi donošenja prethodne odluke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1.      </w:t>
      </w:r>
      <w:r w:rsidR="00515169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Koja </w:t>
      </w:r>
      <w:r w:rsidR="006A09ED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</w:t>
      </w:r>
      <w:r w:rsidR="00515169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šteta treba smatrati prvobitnom štetom kod nedopuštene radnje </w:t>
      </w:r>
      <w:r w:rsidR="006A09ED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kakva je ona na</w:t>
      </w:r>
      <w:r w:rsidR="00515169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kojoj </w:t>
      </w:r>
      <w:r w:rsidR="006A09ED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se zasniva</w:t>
      </w:r>
      <w:r w:rsidR="00515169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zahtjev Zuid-Chemie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r w:rsidR="006A09ED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šteta koja nastaje isporukom manjkavog proizvoda ili šteta koja nastaje kod uobičajene uporabe proizvoda za svrhu za koju je namijenjen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?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2.      </w:t>
      </w:r>
      <w:r w:rsidR="006A09ED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Ako je potonje slučaj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r w:rsidR="006A09ED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može li se mjesto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gdje je</w:t>
      </w:r>
      <w:r w:rsidR="006A09ED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nastupila ta šteta smatrati</w:t>
      </w:r>
      <w:r w:rsidR="0028500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„mjestom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gdje se </w:t>
      </w:r>
      <w:r w:rsidR="0028500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štetni događaj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dogodio</w:t>
      </w:r>
      <w:r w:rsidR="0028500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“ u smislu članka 5. stavka 3. Uredbe b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r. 44/2001 </w:t>
      </w:r>
      <w:r w:rsidR="0028500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samo onda kad se šteta sastoji od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materijalne štete nastale osobama ili na stvarima</w:t>
      </w:r>
      <w:r w:rsidR="0028500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je to moguće i ako je (prvobitno) nastala samo financijska šteta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?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  <w:r w:rsidR="0028500B" w:rsidRPr="00C950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 postavljenim pitanjima</w:t>
      </w:r>
    </w:p>
    <w:p w:rsidR="008B7B58" w:rsidRPr="00C950EB" w:rsidRDefault="0028500B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Prvo pitanje</w:t>
      </w:r>
    </w:p>
    <w:p w:rsidR="008B588B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5" w:name="point16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16</w:t>
      </w:r>
      <w:bookmarkEnd w:id="15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28500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Prvim pitanjem nacionalni sud želi ustanoviti treba li se članak 5. stavak 3. Uredbe b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r. 44/2001 </w:t>
      </w:r>
      <w:r w:rsidR="0028500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tumačiti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tako da izraz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mjesto gdje se štetni događaj dogodio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okviru spora kakav je predmet glavnog postupka znači mjesto isporuke manjkavog proizvoda kupcu ili </w:t>
      </w:r>
      <w:r w:rsidR="00E9333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tako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="001A11C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odnosi na mjesto </w:t>
      </w:r>
      <w:r w:rsidR="00E9333A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kojem je nastala prvobitna šteta kod uobičajene uporabe proizvoda za svrhu za koju je namijenjen.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6" w:name="point17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bookmarkEnd w:id="16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Radi odgovora na to pitanje potrebno je s jedne strane imati na umu da se odredbe Uredbe b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r. 44/2001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trebaju u skladu sa stalnom sudskom praksom tumačiti autonomno uz uvažavanje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svog sustava i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vlastitih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ciljeva (usp. između ostalog presude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2.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listopada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2008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C81D0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Hassett </w:t>
      </w:r>
      <w:r w:rsidR="008B588B" w:rsidRPr="00C81D0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</w:t>
      </w:r>
      <w:r w:rsidRPr="00C81D0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Doherty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372/07,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2008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0000,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17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23.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travnja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2009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C81D0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Draka NK Cables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i dr.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167/08,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2009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0000, </w:t>
      </w:r>
      <w:r w:rsidR="008B588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19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7" w:name="point18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18</w:t>
      </w:r>
      <w:bookmarkEnd w:id="17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Budući da s druge strane Uredba br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44/2001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sada u odnosima između država članica zamjenjuje Konvenciju od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27.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rujna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1968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 sudskoj nadležnosti i ovrsi sudskih odluka u građanskim i trgovačkim stvarima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SL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1972, L 299,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str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 32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 inačici Konvencije o pristupanju novih država članica toj Konvenciji (u daljnjem tekstu „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Bruxelleska</w:t>
      </w:r>
      <w:r w:rsidR="0045755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konvencija“), način na koji Sud tumači ovu Konvenciju odnosi se i na odredbe Uredbe br. 44/2001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se odredbe ovih pravnih instrumenata Zajednice mogu smatrati </w:t>
      </w:r>
      <w:r w:rsidR="00C64810">
        <w:rPr>
          <w:rFonts w:ascii="Times New Roman" w:eastAsia="Times New Roman" w:hAnsi="Times New Roman" w:cs="Times New Roman"/>
          <w:sz w:val="24"/>
          <w:szCs w:val="24"/>
          <w:lang w:val="hr-HR"/>
        </w:rPr>
        <w:t>jednakima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8" w:name="point19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19</w:t>
      </w:r>
      <w:bookmarkEnd w:id="18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 odredbam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Uredbe b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r. 44/2001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koje su </w:t>
      </w:r>
      <w:r w:rsidR="00C648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relevantne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ovaj predmet do izražaja dolazi isti 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sustav kao i u odredbama 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Bruxelleske</w:t>
      </w:r>
      <w:r w:rsidR="00767F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konvencije, a i tekst tih odredbi </w:t>
      </w:r>
      <w:r w:rsidR="00767F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gotovo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identičan. S obzirom na tu slič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nost 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potrebno je </w:t>
      </w:r>
      <w:r w:rsidR="0007254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skladu s 19. uvodnom izjavom Uredbe br. 44/2001 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osigurati kontinuitet kod tumačenja ovih dvaju pravnih instrumenata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usp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presudu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648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Draka NK Cables </w:t>
      </w:r>
      <w:r w:rsidR="001A11C6" w:rsidRPr="00C648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 dr</w:t>
      </w:r>
      <w:r w:rsidR="001D4598" w:rsidRPr="00C648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20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presudu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14. 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svibnja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2009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C648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Ilsinger,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180/06, 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2009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0000, 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58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9" w:name="point20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bookmarkEnd w:id="19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Kod tumačenja članka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5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stavka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3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 Brisel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="00CE39B6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konvencije Sud je već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zaključio da sustav zajedničkih pravila za dodjelu nadležnosti iz Glave II te Konvencije počiva na općem pravilu iz članka 2. stavka 1. prema kojem osobe koje imaju prebivalište u nekoj državi </w:t>
      </w:r>
      <w:r w:rsidR="00C648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ugovornici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mogu, bez obzira na svoje državljanstvo, biti tužene pred sudovima te države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presuda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10.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lipnja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2004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C648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Kronhofer,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168/02,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2004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6009,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12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0" w:name="point21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21</w:t>
      </w:r>
      <w:bookmarkEnd w:id="20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Samo iznimno od tog temeljnog načela nadležnosti sudova u prebivalištu tuženika u Glavi II Odjeljku 2 Briselske konvencije predviđena su određena posebna pravila o nadležnosti među kojima je i pravilo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članka 5. stavka 3. Konvencije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presuda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648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Kronhofer,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13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</w:p>
    <w:p w:rsidR="008B7B58" w:rsidRPr="00C950EB" w:rsidRDefault="008B7B58" w:rsidP="00FA5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1" w:name="point22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22</w:t>
      </w:r>
      <w:bookmarkEnd w:id="21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Sud je osim toga odlučio da se ta posebna pravila o nadležnosti trebaju tumačiti restriktivno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da ne mogu izaći iz okvira </w:t>
      </w:r>
      <w:r w:rsidR="00CE654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onih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slučajeva koji su izrijekom predviđeni u Konvenciji (usp. presude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27.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rujna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1988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C648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Kalfelis,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189/87,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1988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5565,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19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15. 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siječnja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2004</w:t>
      </w:r>
      <w:r w:rsidR="00FA5042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C648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Blijdenstein,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433/01,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2004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981,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 25,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presudu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648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Kronhofer,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14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2" w:name="point23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23</w:t>
      </w:r>
      <w:bookmarkEnd w:id="22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Unatoč tome</w:t>
      </w:r>
      <w:r w:rsidR="00AA4193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A4193">
        <w:rPr>
          <w:rFonts w:ascii="Times New Roman" w:eastAsia="Times New Roman" w:hAnsi="Times New Roman" w:cs="Times New Roman"/>
          <w:sz w:val="24"/>
          <w:szCs w:val="24"/>
          <w:lang w:val="hr-HR"/>
        </w:rPr>
        <w:t>prema ustaljenoj sudskoj praksi,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ako se mjesto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gdje se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dogodio štetni događaj koji može dovesti do </w:t>
      </w:r>
      <w:r w:rsidR="000A7BE4">
        <w:rPr>
          <w:rFonts w:ascii="Times New Roman" w:eastAsia="Times New Roman" w:hAnsi="Times New Roman" w:cs="Times New Roman"/>
          <w:sz w:val="24"/>
          <w:szCs w:val="24"/>
          <w:lang w:val="hr-HR"/>
        </w:rPr>
        <w:t>izvanugovorne odgovornosti za štetu ili odgovornosti koja je izjednačena s tom odgovornosti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razlikuje od mjesta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gdje se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tog događaja dogodila šteta izraz „mjesto gdje se štetni događaj dogodio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“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članka 5. stavka 3. 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Bruxelleske</w:t>
      </w:r>
      <w:r w:rsidR="0045755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konvencije mora se tumačiti tako da obuhvaća i mjesto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kojem je nastala šteta i mjesto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kojem se dogodio događaj koji je doveo do te štete, tako da tuženik prema izboru tužitelja može biti tužen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jednom od ta dva mjesta (usp. između ostalog presude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30. 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studenog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1976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AA4193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Bier, „Mines de potasse d’Alsace“,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21/76, 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1976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1735, 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24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25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1. 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listopada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2002</w:t>
      </w:r>
      <w:r w:rsidR="00DC5D61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AA4193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Henkel,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167/00, 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2002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8111,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44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5. 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veljače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2004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AA4193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DFDS Torline,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18/02, 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2004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1417,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40, 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presudu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AA4193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Kronhofer,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16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3" w:name="point24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24</w:t>
      </w:r>
      <w:bookmarkEnd w:id="23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Sud je u tom pogledu ustvrdio da pravilo o posebnoj nadležnosti iz članka 5. stavka 3. 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Bruxelleske</w:t>
      </w:r>
      <w:r w:rsidR="0045755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konvencije počiva na tome da između spora i sudova mjesta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gdje se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dogodio štetni događaj postoji posebno uska poveznica što zbog urednog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suđenja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učinkovitog</w:t>
      </w:r>
      <w:r w:rsidR="00A3672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vođenja </w:t>
      </w:r>
      <w:r w:rsidR="00A3672D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postupka opravdava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zasnivanje nadležnosti tih sudova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usp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 tom pogledu između ostalog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presudu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A3672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Mines de potasse d’Alsace,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11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presude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11.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siječnja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1990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A3672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Dumez France </w:t>
      </w:r>
      <w:r w:rsidR="00967DD4" w:rsidRPr="00A3672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</w:t>
      </w:r>
      <w:r w:rsidRPr="00A3672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Tracoba,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220/88, 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1990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49,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17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7.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ožujka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1995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A3672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Shevill </w:t>
      </w:r>
      <w:r w:rsidR="00CE6540" w:rsidRPr="00A3672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 dr.</w:t>
      </w:r>
      <w:r w:rsidR="00CE6540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68/93, 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1995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415,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19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i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19.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rujna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1995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A3672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Marinari,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364/93, 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1995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2719,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10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Sud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mjesta gdje se dogodio štetni događaj u pravilu 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je najlakše odlučiti o sporu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zbog blizine predmet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967DD4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spora i lakšeg izvođenja dokaza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usp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presudu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A3672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Henkel,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46)</w:t>
      </w:r>
      <w:r w:rsidR="0045755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4" w:name="point25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bookmarkEnd w:id="24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Stran</w:t>
      </w:r>
      <w:r w:rsidR="00A3672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ke u glavnom postupku 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slažu se doduše, kako je izneseno u točki 13. ove presude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 je Essen mjesto gdje se dogodio događaj koji je prouzročio štetu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(„</w:t>
      </w:r>
      <w:r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Handlungsort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“), a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li se ne slažu u pogledu određenja mjesta </w:t>
      </w:r>
      <w:r w:rsidR="001A11C6">
        <w:rPr>
          <w:rFonts w:ascii="Times New Roman" w:eastAsia="Times New Roman" w:hAnsi="Times New Roman" w:cs="Times New Roman"/>
          <w:sz w:val="24"/>
          <w:szCs w:val="24"/>
          <w:lang w:val="hr-HR"/>
        </w:rPr>
        <w:t>gdje se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dogodila šteta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(„</w:t>
      </w:r>
      <w:r w:rsidRPr="00C950E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Erfolgsort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“). </w:t>
      </w:r>
    </w:p>
    <w:p w:rsidR="00C950EB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5" w:name="point26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26</w:t>
      </w:r>
      <w:bookmarkEnd w:id="25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Potonje mjesto je prema sudskoj praksi iz točke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23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ove presude</w:t>
      </w:r>
      <w:r w:rsid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mjesto </w:t>
      </w:r>
      <w:r w:rsidR="00071E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kojem se dogodila šteta kao rezultat događaja koji može dovesti do </w:t>
      </w:r>
      <w:r w:rsidR="000A7BE4">
        <w:rPr>
          <w:rFonts w:ascii="Times New Roman" w:eastAsia="Times New Roman" w:hAnsi="Times New Roman" w:cs="Times New Roman"/>
          <w:sz w:val="24"/>
          <w:szCs w:val="24"/>
          <w:lang w:val="hr-HR"/>
        </w:rPr>
        <w:t>izvanugovorne odgovornosti za štetu ili odgovornosti koja je s tom odgovornosti</w:t>
      </w:r>
      <w:r w:rsidR="0078458B" w:rsidRPr="0078458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8458B">
        <w:rPr>
          <w:rFonts w:ascii="Times New Roman" w:eastAsia="Times New Roman" w:hAnsi="Times New Roman" w:cs="Times New Roman"/>
          <w:sz w:val="24"/>
          <w:szCs w:val="24"/>
          <w:lang w:val="hr-HR"/>
        </w:rPr>
        <w:t>izjednačena</w:t>
      </w:r>
      <w:r w:rsid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C950EB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8B7B58" w:rsidRPr="00C950EB" w:rsidRDefault="008B7B58" w:rsidP="00B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6" w:name="point27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27</w:t>
      </w:r>
      <w:bookmarkEnd w:id="26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Mjesto </w:t>
      </w:r>
      <w:r w:rsidR="00071E89">
        <w:rPr>
          <w:rFonts w:ascii="Times New Roman" w:eastAsia="Times New Roman" w:hAnsi="Times New Roman" w:cs="Times New Roman"/>
          <w:sz w:val="24"/>
          <w:szCs w:val="24"/>
          <w:lang w:val="hr-HR"/>
        </w:rPr>
        <w:t>gdje se</w:t>
      </w:r>
      <w:r w:rsid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dogodila šteta ne smije se, međutim, brkati s mjestom </w:t>
      </w:r>
      <w:r w:rsidR="00071E89">
        <w:rPr>
          <w:rFonts w:ascii="Times New Roman" w:eastAsia="Times New Roman" w:hAnsi="Times New Roman" w:cs="Times New Roman"/>
          <w:sz w:val="24"/>
          <w:szCs w:val="24"/>
          <w:lang w:val="hr-HR"/>
        </w:rPr>
        <w:t>gdje</w:t>
      </w:r>
      <w:r w:rsid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dogodio događaj koji je doveo do štete na proizvodu, jer je to mjesto događaja koji je 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>uzrokovao</w:t>
      </w:r>
      <w:r w:rsid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štet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>Nasuprot tome, mjesto „</w:t>
      </w:r>
      <w:r w:rsidR="00134D4F">
        <w:rPr>
          <w:rFonts w:ascii="Times New Roman" w:eastAsia="Times New Roman" w:hAnsi="Times New Roman" w:cs="Times New Roman"/>
          <w:sz w:val="24"/>
          <w:szCs w:val="24"/>
          <w:lang w:val="hr-HR"/>
        </w:rPr>
        <w:t>gdje se dogodila šteta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 (usp. presude </w:t>
      </w:r>
      <w:r w:rsidRPr="0078458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Mines de potasse d’Alsace,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15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8458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Shevill </w:t>
      </w:r>
      <w:r w:rsidR="00B22DA7" w:rsidRPr="0078458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 dr.</w:t>
      </w:r>
      <w:r w:rsidRPr="0078458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21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mjesto </w:t>
      </w:r>
      <w:r w:rsidR="00071E8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kojem uzročni događaj razvija svoje štetno djelovanje odnosno mjesto </w:t>
      </w:r>
      <w:r w:rsidR="00071E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>kojem šteta koju je prouzročio manjkavi proizvod stvarno dolazi do izražaja.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8B7B58" w:rsidRPr="00C950EB" w:rsidRDefault="008B7B58" w:rsidP="00B2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7" w:name="point28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28</w:t>
      </w:r>
      <w:bookmarkEnd w:id="27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Treba imati na umu da sudska praksa jasno razlikuje između štete i događaja koji je prouzročio tu štetu i da prema sudskoj praksi </w:t>
      </w:r>
      <w:r w:rsidR="000A7BE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izvanugovorna odgovornost za štetu ili 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odgovornost </w:t>
      </w:r>
      <w:r w:rsidR="000A7BE4">
        <w:rPr>
          <w:rFonts w:ascii="Times New Roman" w:eastAsia="Times New Roman" w:hAnsi="Times New Roman" w:cs="Times New Roman"/>
          <w:sz w:val="24"/>
          <w:szCs w:val="24"/>
          <w:lang w:val="hr-HR"/>
        </w:rPr>
        <w:t>koja je izjednačena s tom odgovornosti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može nastupiti samo ako postoji uzročnoposljedična veza između ove dvije okolnosti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>usp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B22DA7">
        <w:rPr>
          <w:rFonts w:ascii="Times New Roman" w:eastAsia="Times New Roman" w:hAnsi="Times New Roman" w:cs="Times New Roman"/>
          <w:sz w:val="24"/>
          <w:szCs w:val="24"/>
          <w:lang w:val="hr-HR"/>
        </w:rPr>
        <w:t>presudu u predmetu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8458B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Mines de potasse d’Alsace,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16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8" w:name="point29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29</w:t>
      </w:r>
      <w:bookmarkEnd w:id="28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212ED1">
        <w:rPr>
          <w:rFonts w:ascii="Times New Roman" w:eastAsia="Times New Roman" w:hAnsi="Times New Roman" w:cs="Times New Roman"/>
          <w:sz w:val="24"/>
          <w:szCs w:val="24"/>
          <w:lang w:val="hr-HR"/>
        </w:rPr>
        <w:t>S obzirom na ova razmatranja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212E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mjesto nastanka štete može biti jedino tvornica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Zuid-Chemie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12ED1">
        <w:rPr>
          <w:rFonts w:ascii="Times New Roman" w:eastAsia="Times New Roman" w:hAnsi="Times New Roman" w:cs="Times New Roman"/>
          <w:sz w:val="24"/>
          <w:szCs w:val="24"/>
          <w:lang w:val="hr-HR"/>
        </w:rPr>
        <w:t>u Nizozemskoj gdje se Micr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omix, </w:t>
      </w:r>
      <w:r w:rsidR="00212ED1">
        <w:rPr>
          <w:rFonts w:ascii="Times New Roman" w:eastAsia="Times New Roman" w:hAnsi="Times New Roman" w:cs="Times New Roman"/>
          <w:sz w:val="24"/>
          <w:szCs w:val="24"/>
          <w:lang w:val="hr-HR"/>
        </w:rPr>
        <w:t>manjkavi proizvod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212ED1">
        <w:rPr>
          <w:rFonts w:ascii="Times New Roman" w:eastAsia="Times New Roman" w:hAnsi="Times New Roman" w:cs="Times New Roman"/>
          <w:sz w:val="24"/>
          <w:szCs w:val="24"/>
          <w:lang w:val="hr-HR"/>
        </w:rPr>
        <w:t>preradio u umjetno gnojivo, čime je za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Zuid-Chemie </w:t>
      </w:r>
      <w:r w:rsidR="00212ED1">
        <w:rPr>
          <w:rFonts w:ascii="Times New Roman" w:eastAsia="Times New Roman" w:hAnsi="Times New Roman" w:cs="Times New Roman"/>
          <w:sz w:val="24"/>
          <w:szCs w:val="24"/>
          <w:lang w:val="hr-HR"/>
        </w:rPr>
        <w:t>nastala materijalna šteta koja izlazi iz okvira</w:t>
      </w:r>
      <w:r w:rsidR="003C29A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štete na samom proizvodu M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icromix.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9" w:name="point30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30</w:t>
      </w:r>
      <w:bookmarkEnd w:id="29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3C29A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Osim toga je potrebno istaknuti da nadležnost nizozemskih sudova koja je time na raspolaganju za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Zuid-Chemie</w:t>
      </w:r>
      <w:r w:rsidR="003C29A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posebno zbog razloga navedenih u točki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24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C29A1">
        <w:rPr>
          <w:rFonts w:ascii="Times New Roman" w:eastAsia="Times New Roman" w:hAnsi="Times New Roman" w:cs="Times New Roman"/>
          <w:sz w:val="24"/>
          <w:szCs w:val="24"/>
          <w:lang w:val="hr-HR"/>
        </w:rPr>
        <w:t>ove presude omogućuje da o sporu odlučuje sud kojemu je to najlakše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3C29A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čime se omogućuje praktična učinkovitost pravila o posebnoj nadležnosti iz članka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3C29A1">
        <w:rPr>
          <w:rFonts w:ascii="Times New Roman" w:eastAsia="Times New Roman" w:hAnsi="Times New Roman" w:cs="Times New Roman"/>
          <w:sz w:val="24"/>
          <w:szCs w:val="24"/>
          <w:lang w:val="hr-HR"/>
        </w:rPr>
        <w:t>. stavka 3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C29A1">
        <w:rPr>
          <w:rFonts w:ascii="Times New Roman" w:eastAsia="Times New Roman" w:hAnsi="Times New Roman" w:cs="Times New Roman"/>
          <w:sz w:val="24"/>
          <w:szCs w:val="24"/>
          <w:lang w:val="hr-HR"/>
        </w:rPr>
        <w:t>Uredbe br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 44/2001. </w:t>
      </w:r>
    </w:p>
    <w:p w:rsidR="00DA2CD8" w:rsidRDefault="008B7B58" w:rsidP="00DA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30" w:name="point31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31</w:t>
      </w:r>
      <w:bookmarkEnd w:id="30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FF73E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Kod 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svog </w:t>
      </w:r>
      <w:r w:rsidR="00FF73E9">
        <w:rPr>
          <w:rFonts w:ascii="Times New Roman" w:eastAsia="Times New Roman" w:hAnsi="Times New Roman" w:cs="Times New Roman"/>
          <w:sz w:val="24"/>
          <w:szCs w:val="24"/>
          <w:lang w:val="hr-HR"/>
        </w:rPr>
        <w:t>tumačenja članka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5</w:t>
      </w:r>
      <w:r w:rsidR="00FF73E9">
        <w:rPr>
          <w:rFonts w:ascii="Times New Roman" w:eastAsia="Times New Roman" w:hAnsi="Times New Roman" w:cs="Times New Roman"/>
          <w:sz w:val="24"/>
          <w:szCs w:val="24"/>
          <w:lang w:val="hr-HR"/>
        </w:rPr>
        <w:t>. stavka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3</w:t>
      </w:r>
      <w:r w:rsidR="00FF73E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Bruxelleske</w:t>
      </w:r>
      <w:r w:rsidR="008E33E0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F73E9">
        <w:rPr>
          <w:rFonts w:ascii="Times New Roman" w:eastAsia="Times New Roman" w:hAnsi="Times New Roman" w:cs="Times New Roman"/>
          <w:sz w:val="24"/>
          <w:szCs w:val="24"/>
          <w:lang w:val="hr-HR"/>
        </w:rPr>
        <w:t>konvencije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>, prema kojem</w:t>
      </w:r>
      <w:r w:rsidR="00A93D62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ova odredba obuhvaća ne samo mjesto uzročnog događaja nego i mjesto nastanka štete, Sud je zastupao stajalište da bi ograničenje na mjesto uzročnog događaja u značaj</w:t>
      </w:r>
      <w:r w:rsidR="00EB3BEF">
        <w:rPr>
          <w:rFonts w:ascii="Times New Roman" w:eastAsia="Times New Roman" w:hAnsi="Times New Roman" w:cs="Times New Roman"/>
          <w:sz w:val="24"/>
          <w:szCs w:val="24"/>
          <w:lang w:val="hr-HR"/>
        </w:rPr>
        <w:t>nom broju slučajeva dovelo do pre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>klapanja nadležnosti iz članka 2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članka 5. stavka 3. čime bi potonja odredba izgubila svoju praktičnu učinkovitost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>usp. presude u predmetu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A2CD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Mines de potasse d’Alsace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>točke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 15 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20, 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B3BE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Shevill </w:t>
      </w:r>
      <w:r w:rsidR="00071E89" w:rsidRPr="00EB3BE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 dr</w:t>
      </w:r>
      <w:r w:rsidRPr="00EB3BE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  <w:r w:rsidRPr="00134D4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F01CCE" w:rsidRPr="00134D4F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22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>Ova argumentacija koja se odnosi na poklapanje nadležnosti jednako vrijedi i za slučaj da se ne uzme u obzir drugo mjesto nastanka štete nego samo mjesto uzročnog događaja.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31" w:name="point32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32</w:t>
      </w:r>
      <w:bookmarkEnd w:id="31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>Stoga se članak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>. stavak 3. Uredbe br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44/2001 </w:t>
      </w:r>
      <w:r w:rsidR="00DA2CD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treba tumačiti tako da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„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mjesto gdje se štetni događaj dogodio“ u okviru spora kakav je glavni postupak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ono mjesto </w:t>
      </w:r>
      <w:r w:rsidR="00071E8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kojem se dogodila prvobitna šteta kao rezultat uobičajene uporabe proizvoda za svrhu za koju je namijenjen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  <w:r w:rsidR="008670A7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Drugo pitanje</w:t>
      </w:r>
    </w:p>
    <w:p w:rsidR="008670A7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32" w:name="point33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33</w:t>
      </w:r>
      <w:bookmarkEnd w:id="32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Ako bi odgovor na prvo pitanje bio da se članak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5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. stavak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3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. Uredbe b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r. 44/2001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treba tumačiti tako da izraz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mjesto gdje se štetni događaj dogodio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obuhvaća mjesto </w:t>
      </w:r>
      <w:r w:rsidR="00134D4F">
        <w:rPr>
          <w:rFonts w:ascii="Times New Roman" w:eastAsia="Times New Roman" w:hAnsi="Times New Roman" w:cs="Times New Roman"/>
          <w:sz w:val="24"/>
          <w:szCs w:val="24"/>
          <w:lang w:val="hr-HR"/>
        </w:rPr>
        <w:t>gdje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nastupila šteta kao rezultat uobičajene uporabe proizvoda za svrhu za koju je namijenjen, sud koji podnosi pitanje želi nadalje znati mora li se ta šteta sastojati od </w:t>
      </w:r>
      <w:r w:rsidR="00071E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materijalne štete nastale osobama ili na stvarima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ili se može raditi (u toj fazi) i o čistoj financijskoj šteti.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33" w:name="point34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34</w:t>
      </w:r>
      <w:bookmarkEnd w:id="33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U tom je kontekstu potrebno istaknuti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kako je izneseno u točkama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9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10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ove presude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–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da je prerada onečišćenog proizvoda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Micromix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u umjetno gnojivo u tvornici Zuid-Chemie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dovela do toga da je umjetno gnojivo postalo neupotrebljivo ili samo ograničeno upotrebljivo zbog čega je za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Zuid-Chemie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prema njihov</w:t>
      </w:r>
      <w:r w:rsidR="00071E89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j tvrdnji nastala šteta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34" w:name="point35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35</w:t>
      </w:r>
      <w:bookmarkEnd w:id="34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Budući da se kod prvobitne štete koja je nastala za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Zuid-Chemie </w:t>
      </w:r>
      <w:r w:rsidR="008670A7">
        <w:rPr>
          <w:rFonts w:ascii="Times New Roman" w:eastAsia="Times New Roman" w:hAnsi="Times New Roman" w:cs="Times New Roman"/>
          <w:sz w:val="24"/>
          <w:szCs w:val="24"/>
          <w:lang w:val="hr-HR"/>
        </w:rPr>
        <w:t>stoga radilo o materijalnoj šteti na stvarima</w:t>
      </w:r>
      <w:r w:rsidR="00687C19">
        <w:rPr>
          <w:rFonts w:ascii="Times New Roman" w:eastAsia="Times New Roman" w:hAnsi="Times New Roman" w:cs="Times New Roman"/>
          <w:sz w:val="24"/>
          <w:szCs w:val="24"/>
          <w:lang w:val="hr-HR"/>
        </w:rPr>
        <w:t>, pitanje bi li za početak bila dovoljna čista financijska šteta da se dođe do tumačenja iz to</w:t>
      </w:r>
      <w:r w:rsidR="000C762F">
        <w:rPr>
          <w:rFonts w:ascii="Times New Roman" w:eastAsia="Times New Roman" w:hAnsi="Times New Roman" w:cs="Times New Roman"/>
          <w:sz w:val="24"/>
          <w:szCs w:val="24"/>
          <w:lang w:val="hr-HR"/>
        </w:rPr>
        <w:t>čke 32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0C76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ove presude je hipotetske naravi</w:t>
      </w:r>
      <w:r w:rsidR="00687C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8B7B58" w:rsidRPr="00C950EB" w:rsidRDefault="008B7B58" w:rsidP="008B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35" w:name="point36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36</w:t>
      </w:r>
      <w:bookmarkEnd w:id="35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</w:t>
      </w:r>
      <w:r w:rsidR="00DB39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 obzirom na to utvrđenje, kao i činjenicu da </w:t>
      </w:r>
      <w:r w:rsidR="00687C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zadatak Suda sastoji u tome da pomogne </w:t>
      </w:r>
      <w:r w:rsidR="00071E89">
        <w:rPr>
          <w:rFonts w:ascii="Times New Roman" w:eastAsia="Times New Roman" w:hAnsi="Times New Roman" w:cs="Times New Roman"/>
          <w:sz w:val="24"/>
          <w:szCs w:val="24"/>
          <w:lang w:val="hr-HR"/>
        </w:rPr>
        <w:t>suđenju</w:t>
      </w:r>
      <w:r w:rsidR="00687C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državama članicama, ali ne u tome da donosi stručna mišljenja o općim ili hipotetskim pitanjima 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687C19">
        <w:rPr>
          <w:rFonts w:ascii="Times New Roman" w:eastAsia="Times New Roman" w:hAnsi="Times New Roman" w:cs="Times New Roman"/>
          <w:sz w:val="24"/>
          <w:szCs w:val="24"/>
          <w:lang w:val="hr-HR"/>
        </w:rPr>
        <w:t>presuda od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18. </w:t>
      </w:r>
      <w:r w:rsidR="00687C19">
        <w:rPr>
          <w:rFonts w:ascii="Times New Roman" w:eastAsia="Times New Roman" w:hAnsi="Times New Roman" w:cs="Times New Roman"/>
          <w:sz w:val="24"/>
          <w:szCs w:val="24"/>
          <w:lang w:val="hr-HR"/>
        </w:rPr>
        <w:t>prosinca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2007</w:t>
      </w:r>
      <w:r w:rsidR="00687C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bookmarkStart w:id="36" w:name="_GoBack"/>
      <w:r w:rsidRPr="00613A5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ZF Zefeser,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bookmarkEnd w:id="36"/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C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62/06, </w:t>
      </w:r>
      <w:r w:rsidR="006C066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[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2007</w:t>
      </w:r>
      <w:r w:rsidR="00687C19">
        <w:rPr>
          <w:rFonts w:ascii="Times New Roman" w:eastAsia="Times New Roman" w:hAnsi="Times New Roman" w:cs="Times New Roman"/>
          <w:sz w:val="24"/>
          <w:szCs w:val="24"/>
          <w:lang w:val="hr-HR"/>
        </w:rPr>
        <w:t>]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noBreakHyphen/>
        <w:t xml:space="preserve">11995, </w:t>
      </w:r>
      <w:r w:rsidR="00F01CCE"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točka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> 15</w:t>
      </w:r>
      <w:r w:rsidR="008E33E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</w:t>
      </w:r>
      <w:r w:rsidR="00687C19">
        <w:rPr>
          <w:rFonts w:ascii="Times New Roman" w:eastAsia="Times New Roman" w:hAnsi="Times New Roman" w:cs="Times New Roman"/>
          <w:sz w:val="24"/>
          <w:szCs w:val="24"/>
          <w:lang w:val="hr-HR"/>
        </w:rPr>
        <w:t>nema potrebe dati odgovor na drugo pitanje</w:t>
      </w:r>
      <w:r w:rsidRPr="00C950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sectPr w:rsidR="008B7B58" w:rsidRPr="00C950EB" w:rsidSect="00B55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B7B58"/>
    <w:rsid w:val="0000118C"/>
    <w:rsid w:val="000670FE"/>
    <w:rsid w:val="00071E89"/>
    <w:rsid w:val="0007254B"/>
    <w:rsid w:val="000A7BE4"/>
    <w:rsid w:val="000C762F"/>
    <w:rsid w:val="000E3E19"/>
    <w:rsid w:val="00132CA9"/>
    <w:rsid w:val="00134D4F"/>
    <w:rsid w:val="001A019A"/>
    <w:rsid w:val="001A11C6"/>
    <w:rsid w:val="001D4598"/>
    <w:rsid w:val="001E4DD7"/>
    <w:rsid w:val="00212ED1"/>
    <w:rsid w:val="002249DD"/>
    <w:rsid w:val="002660EF"/>
    <w:rsid w:val="00275B42"/>
    <w:rsid w:val="0028500B"/>
    <w:rsid w:val="003B76AB"/>
    <w:rsid w:val="003C29A1"/>
    <w:rsid w:val="003C31C6"/>
    <w:rsid w:val="0044201E"/>
    <w:rsid w:val="00452AC2"/>
    <w:rsid w:val="0045755B"/>
    <w:rsid w:val="004575A5"/>
    <w:rsid w:val="00505916"/>
    <w:rsid w:val="00515169"/>
    <w:rsid w:val="0056370C"/>
    <w:rsid w:val="005D79D8"/>
    <w:rsid w:val="005E5CA8"/>
    <w:rsid w:val="00613A5D"/>
    <w:rsid w:val="006317E9"/>
    <w:rsid w:val="00645F25"/>
    <w:rsid w:val="00687C19"/>
    <w:rsid w:val="0069438B"/>
    <w:rsid w:val="006A09ED"/>
    <w:rsid w:val="006C066E"/>
    <w:rsid w:val="006D4AD2"/>
    <w:rsid w:val="00705532"/>
    <w:rsid w:val="007070D4"/>
    <w:rsid w:val="0073455C"/>
    <w:rsid w:val="00761AA2"/>
    <w:rsid w:val="00767F9A"/>
    <w:rsid w:val="0078458B"/>
    <w:rsid w:val="007C6578"/>
    <w:rsid w:val="007E3744"/>
    <w:rsid w:val="00803FD9"/>
    <w:rsid w:val="008670A7"/>
    <w:rsid w:val="008A0A0F"/>
    <w:rsid w:val="008B588B"/>
    <w:rsid w:val="008B7B58"/>
    <w:rsid w:val="008E33E0"/>
    <w:rsid w:val="00926CF9"/>
    <w:rsid w:val="00967DD4"/>
    <w:rsid w:val="0099058B"/>
    <w:rsid w:val="009A78E8"/>
    <w:rsid w:val="00A3672D"/>
    <w:rsid w:val="00A8300F"/>
    <w:rsid w:val="00A93D62"/>
    <w:rsid w:val="00AA4193"/>
    <w:rsid w:val="00AD1AF6"/>
    <w:rsid w:val="00B01FD5"/>
    <w:rsid w:val="00B22DA7"/>
    <w:rsid w:val="00B55303"/>
    <w:rsid w:val="00B60E93"/>
    <w:rsid w:val="00B9212A"/>
    <w:rsid w:val="00C64810"/>
    <w:rsid w:val="00C81D0A"/>
    <w:rsid w:val="00C950EB"/>
    <w:rsid w:val="00CD392F"/>
    <w:rsid w:val="00CD4A51"/>
    <w:rsid w:val="00CE39B6"/>
    <w:rsid w:val="00CE6540"/>
    <w:rsid w:val="00CF181E"/>
    <w:rsid w:val="00D20C1D"/>
    <w:rsid w:val="00D27EE3"/>
    <w:rsid w:val="00DA2CD8"/>
    <w:rsid w:val="00DB39CA"/>
    <w:rsid w:val="00DC5D61"/>
    <w:rsid w:val="00E07830"/>
    <w:rsid w:val="00E8731E"/>
    <w:rsid w:val="00E9333A"/>
    <w:rsid w:val="00E97825"/>
    <w:rsid w:val="00EB3BEF"/>
    <w:rsid w:val="00EE67E6"/>
    <w:rsid w:val="00F01CCE"/>
    <w:rsid w:val="00F06C56"/>
    <w:rsid w:val="00F55BFD"/>
    <w:rsid w:val="00F863B9"/>
    <w:rsid w:val="00FA5042"/>
    <w:rsid w:val="00FC2A77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3alineacentregras">
    <w:name w:val="s73alineacentregras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centre">
    <w:name w:val="s39centre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indicateur">
    <w:name w:val="s71indicateur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titre">
    <w:name w:val="s40titre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motcle">
    <w:name w:val="s33motcle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motclefin">
    <w:name w:val="s34motclefin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2alineaalta">
    <w:name w:val="s02alineaalta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renvoi">
    <w:name w:val="s36renvoi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entre">
    <w:name w:val="c19centre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B58"/>
    <w:rPr>
      <w:color w:val="0000FF"/>
      <w:u w:val="single"/>
    </w:rPr>
  </w:style>
  <w:style w:type="paragraph" w:customStyle="1" w:styleId="c71indicateur">
    <w:name w:val="c71indicateur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lineaalta">
    <w:name w:val="c02alineaalta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tiretlong">
    <w:name w:val="c03tiretlong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ebutdesmotifs">
    <w:name w:val="c75debutdesmotifs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pointnumerotealtn">
    <w:name w:val="c01pointnumerotealtn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titre1">
    <w:name w:val="c04titre1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marge0avecretrait">
    <w:name w:val="c09marge0avecretrait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titre2">
    <w:name w:val="c05titre2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dispositifintroduction">
    <w:name w:val="c41dispositifintroduction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ispositifalinea">
    <w:name w:val="c30dispositifalinea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signatures">
    <w:name w:val="c77signatures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footnotelangue">
    <w:name w:val="c42footnotelangue"/>
    <w:basedOn w:val="Normal"/>
    <w:rsid w:val="008B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Pantel d.o.o.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davor</cp:lastModifiedBy>
  <cp:revision>4</cp:revision>
  <cp:lastPrinted>2013-01-17T16:33:00Z</cp:lastPrinted>
  <dcterms:created xsi:type="dcterms:W3CDTF">2013-11-29T15:06:00Z</dcterms:created>
  <dcterms:modified xsi:type="dcterms:W3CDTF">2014-01-20T10:43:00Z</dcterms:modified>
</cp:coreProperties>
</file>